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«Менеджмент в здравоохранении»,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Методы оценки рисков. Международные стандарты риск -менеджмента</w:t>
            </w:r>
          </w:p>
          <w:p>
            <w:pPr>
              <w:jc w:val="center"/>
              <w:spacing w:after="0" w:line="240" w:lineRule="auto"/>
              <w:rPr>
                <w:sz w:val="32"/>
                <w:szCs w:val="32"/>
              </w:rPr>
            </w:pPr>
            <w:r>
              <w:rPr>
                <w:rFonts w:ascii="Times New Roman" w:hAnsi="Times New Roman" w:cs="Times New Roman"/>
                <w:color w:val="#000000"/>
                <w:sz w:val="32"/>
                <w:szCs w:val="32"/>
              </w:rPr>
              <w:t> К.М.04.02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«Менеджмент в здравоохранении»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565.59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«Менеджмент в здравоохранении»;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«Методы оценки рисков. Международные стандарты риск-менеджмента»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К.М.04.02 «Методы оценки рисков. Международные стандарты риск-менеджмента».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«Методы оценки рисков. Международные стандарты риск -менеджмента»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к разработке методической и нормативной базы системы управления рисками и принципов управления рисками, оказания методической помощи и поддержки процесса управления рисками для ответственных за риск сотрудников организации в рамках отдельных бизнес-процессов и функциональных направлений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методики  управления разными видами рисков в соответствии с принятой в организации классификацией рисков, классификацию рисков организации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положения международных стандартов по риск-менеджменту и смежным вопросам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способы управления рисками и мероприятия по управлению рисками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ПК-4.9 уметь  организовывать процесс управления рисками в организации с учетом отраслевых стандартов</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ПК-4.10 уметь  осуществлять расчеты, прогнозировать, тестировать и верифицировать методики управления рисками с учетом отраслевой специфики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ПК-4.11 уметь производить проверку эффективности управления отдельными видами рисков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ПК-4.12 уметь  контролировать меры воздействия на риск</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ПК-4.15 владеть навыками разработки методик управления разными видами рисков в соответствии с принятой в организации классификацией рисков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ПК-4.17 владеть навыками представления аналитической информации о рисках руководителю подразделения и ответственным за мероприятия по рискам работникам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ПК-4.18 владеть навыками мониторинга системы управления рисками, актуализация карт рисков по бизнес-процессам, направлениям бизнеса, применяемых способов управления рисками и мероприятий по управлению рисками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ПК-4.19 владеть навыками обеспечения  информацией текущего управления рисками на постоянной основе; методами взаимодействия с заинтересованными сторонами по вопросам управления рисками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492.8905"/>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Дисциплина К.М.04.02 «Методы оценки рисков. Международные стандарты риск- менеджмента» относится к обязательной части, является дисциплиной Блока Б1. «Дисциплины (модули)». Модуль "Методическая и нормативная база системы управления рисками"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Международное и национальное законодательство и отраслевые стандарты по управлению рисками</w:t>
            </w:r>
          </w:p>
          <w:p>
            <w:pPr>
              <w:jc w:val="center"/>
              <w:spacing w:after="0" w:line="240" w:lineRule="auto"/>
              <w:rPr>
                <w:sz w:val="22"/>
                <w:szCs w:val="22"/>
              </w:rPr>
            </w:pPr>
            <w:r>
              <w:rPr>
                <w:rFonts w:ascii="Times New Roman" w:hAnsi="Times New Roman" w:cs="Times New Roman"/>
                <w:color w:val="#000000"/>
                <w:sz w:val="22"/>
                <w:szCs w:val="22"/>
              </w:rPr>
              <w:t> Методическая и нормативная база системы управления рисками: теория и практика</w:t>
            </w:r>
          </w:p>
          <w:p>
            <w:pPr>
              <w:jc w:val="center"/>
              <w:spacing w:after="0" w:line="240" w:lineRule="auto"/>
              <w:rPr>
                <w:sz w:val="22"/>
                <w:szCs w:val="22"/>
              </w:rPr>
            </w:pPr>
            <w:r>
              <w:rPr>
                <w:rFonts w:ascii="Times New Roman" w:hAnsi="Times New Roman" w:cs="Times New Roman"/>
                <w:color w:val="#000000"/>
                <w:sz w:val="22"/>
                <w:szCs w:val="22"/>
              </w:rPr>
              <w:t> Риск-менеджмент</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((организационно- управленческая) практика 4)</w:t>
            </w:r>
          </w:p>
          <w:p>
            <w:pPr>
              <w:jc w:val="center"/>
              <w:spacing w:after="0" w:line="240" w:lineRule="auto"/>
              <w:rPr>
                <w:sz w:val="22"/>
                <w:szCs w:val="22"/>
              </w:rPr>
            </w:pPr>
            <w:r>
              <w:rPr>
                <w:rFonts w:ascii="Times New Roman" w:hAnsi="Times New Roman" w:cs="Times New Roman"/>
                <w:color w:val="#000000"/>
                <w:sz w:val="22"/>
                <w:szCs w:val="22"/>
              </w:rPr>
              <w:t> Риски в управлении персоналом</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8 зачетных единиц – 288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8"/>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8</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Анализ и оценки риска в системе управления предприятием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Измерители и показатели производственных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Методы анализа и оценки рисков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Экспертные методы оценки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Модель оценки финансовых активов (CAPM)</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Оценка рисков инвестиционных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Международные стандарты управления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Анализ и оценки риска в системе управления предприятием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Измерители и показатели производственных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Методы анализа и оценки рисков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Экспертные методы оценки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Модель оценки финансовых активов (CAPM)</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Оценка рисков инвестиционных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Международные стандарты управления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Анализ и оценки риска в системе управления предприятием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Измерители и показатели производственных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Методы анализа и оценки рисков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Экспертные методы оценки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Оценка рисков инвестиционных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288</w:t>
            </w:r>
          </w:p>
        </w:tc>
      </w:tr>
      <w:tr>
        <w:trPr>
          <w:trHeight w:hRule="exact" w:val="7716.32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55.2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Анализ и оценки риска в системе управления предприятием</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Управление рисками предприятия. Характеристика основных элементов системы управления рисками предприятия. Алгоритм управления рисками предприятия. Методы управления рисками: принципы управления, алгоритм управления. Процесс управления операционными рисками.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Измерители и показатели производственных рисков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Математические модели и методы оценки риска: методы анализа операционных рисков предприятия; измерители и система показатели оценки риска. Система показателей оценки риска. Показатели оценки риска в условиях неопределенности. Показатели оценки операционного риска в условиях частичной и полной неопределенности и их применение. Условия частичной неопределенности. Условия полной неопределенности: точечная оценка риска, предельные значения показателей риска.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Методы анализа и оценки рисков предприятия</w:t>
            </w:r>
          </w:p>
        </w:tc>
      </w:tr>
      <w:tr>
        <w:trPr>
          <w:trHeight w:hRule="exact" w:val="1355.4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анализа рисков. Формализация частичной неопределенности и применение теории вероятности в задачах оценки риска. Закон нормального распределения; интервальная оценка риска. Статистические показатели риска: среднее значение, выборочная средняя, математическое ожидание, стандартное отклонение, дисперсия, доверительный интервал, коэффициент вариации. Предельные значения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показателей риска. Критерии количественной оценки риска в условиях неопределенности: критерий Сэвиджа; критерий Гурвица; критерий Вальда; критерий Байеса. Выбор решений в условиях частичной неопределенности: критерий рациональности Лапласа.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Экспертные методы оценки риска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Экспертные методы прогнозирования риска: коллективные методы оценивания, методы получения индивидуального мнения, Этапы применения экспертных методов оценки риска. Методы групповой экспертной оценки риска: открытая дискуссия; анкетный опрос. Метод Дельфи в оценке риска. Метод статистической обработки результатов экспертизы. Оценка согласованности мнений экспертов: критерий ранговой корреляции Спирмена; индикатор конкордации. Роза и спираль риска.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Модель оценки финансовых активов (CAPM)</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Рыночный и собственный риск портфеля ценных бумаг. Диверсификация портфеля ценных бумаг. Предположения о поведении инвесторов и существовании совершенных фондовых рынков. Основные постулаты модели CAPM. Основные индексы мирового и российского фондовых рынков.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Оценка рисков инвестиционных проектов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определения и классификация рисков инвестиционного проектирования. Имитационная модель учета риска. Анализ чувствительности инвестиционного проекта. Имитационное моделирование Монте-Карло. Метод построения дерева решений проекта. Метод корректировки на риск денежного потока. Метод корректировки коэффициента дисконтирования на риск инвестиционного проекта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Международные стандарты управления рисками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Стандарты, руководства и рекомендации, разработанные национальными профессиональными объединениями. Стандарты, руководства и рекомендации, разработанные и изданные национальными органами по стандартизации. Процессы стандартизация в области риск-менеджмента на международном уровне.</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Анализ и оценки риска в системе управления предприятием</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w:t>
            </w:r>
          </w:p>
          <w:p>
            <w:pPr>
              <w:jc w:val="both"/>
              <w:spacing w:after="0" w:line="240" w:lineRule="auto"/>
              <w:rPr>
                <w:sz w:val="24"/>
                <w:szCs w:val="24"/>
              </w:rPr>
            </w:pPr>
            <w:r>
              <w:rPr>
                <w:rFonts w:ascii="Times New Roman" w:hAnsi="Times New Roman" w:cs="Times New Roman"/>
                <w:color w:val="#000000"/>
                <w:sz w:val="24"/>
                <w:szCs w:val="24"/>
              </w:rPr>
              <w:t> 3.	Методы управления рисками: принципы управления, алгоритм управления.</w:t>
            </w:r>
          </w:p>
          <w:p>
            <w:pPr>
              <w:jc w:val="both"/>
              <w:spacing w:after="0" w:line="240" w:lineRule="auto"/>
              <w:rPr>
                <w:sz w:val="24"/>
                <w:szCs w:val="24"/>
              </w:rPr>
            </w:pPr>
            <w:r>
              <w:rPr>
                <w:rFonts w:ascii="Times New Roman" w:hAnsi="Times New Roman" w:cs="Times New Roman"/>
                <w:color w:val="#000000"/>
                <w:sz w:val="24"/>
                <w:szCs w:val="24"/>
              </w:rPr>
              <w:t> 4.	Процесс управления операционными рисками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Измерители и показатели производственных рисков</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4.	Показатели оценки операционного риска в условиях частичной и полной неопределенности и их применение.</w:t>
            </w:r>
          </w:p>
          <w:p>
            <w:pPr>
              <w:jc w:val="both"/>
              <w:spacing w:after="0" w:line="240" w:lineRule="auto"/>
              <w:rPr>
                <w:sz w:val="24"/>
                <w:szCs w:val="24"/>
              </w:rPr>
            </w:pPr>
            <w:r>
              <w:rPr>
                <w:rFonts w:ascii="Times New Roman" w:hAnsi="Times New Roman" w:cs="Times New Roman"/>
                <w:color w:val="#000000"/>
                <w:sz w:val="24"/>
                <w:szCs w:val="24"/>
              </w:rPr>
              <w:t> 5.	Условия частичной неопределенности.</w:t>
            </w:r>
          </w:p>
          <w:p>
            <w:pPr>
              <w:jc w:val="both"/>
              <w:spacing w:after="0" w:line="240" w:lineRule="auto"/>
              <w:rPr>
                <w:sz w:val="24"/>
                <w:szCs w:val="24"/>
              </w:rPr>
            </w:pPr>
            <w:r>
              <w:rPr>
                <w:rFonts w:ascii="Times New Roman" w:hAnsi="Times New Roman" w:cs="Times New Roman"/>
                <w:color w:val="#000000"/>
                <w:sz w:val="24"/>
                <w:szCs w:val="24"/>
              </w:rPr>
              <w:t> 6.	Условия полной неопределенности: точечная оценка риска, предельные значения показателей риска.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Методы анализа и оценки рисков предприятия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4.	Статистические показатели риска: среднее значение, выборочная средняя, математическое ожидание, стандартное отклонение, дисперсия, доверительный интервал, коэффициент вариации.</w:t>
            </w:r>
          </w:p>
          <w:p>
            <w:pPr>
              <w:jc w:val="both"/>
              <w:spacing w:after="0" w:line="240" w:lineRule="auto"/>
              <w:rPr>
                <w:sz w:val="24"/>
                <w:szCs w:val="24"/>
              </w:rPr>
            </w:pPr>
            <w:r>
              <w:rPr>
                <w:rFonts w:ascii="Times New Roman" w:hAnsi="Times New Roman" w:cs="Times New Roman"/>
                <w:color w:val="#000000"/>
                <w:sz w:val="24"/>
                <w:szCs w:val="24"/>
              </w:rPr>
              <w:t> 5.	Предельные значения показателей риска</w:t>
            </w:r>
          </w:p>
          <w:p>
            <w:pPr>
              <w:jc w:val="both"/>
              <w:spacing w:after="0" w:line="240" w:lineRule="auto"/>
              <w:rPr>
                <w:sz w:val="24"/>
                <w:szCs w:val="24"/>
              </w:rPr>
            </w:pPr>
            <w:r>
              <w:rPr>
                <w:rFonts w:ascii="Times New Roman" w:hAnsi="Times New Roman" w:cs="Times New Roman"/>
                <w:color w:val="#000000"/>
                <w:sz w:val="24"/>
                <w:szCs w:val="24"/>
              </w:rPr>
              <w:t> 6.	Выбор решений в условиях частичной неопределенности: критерий рациональности Лапласа.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Экспертные методы оценки риска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3. Выбор метода получения экспертной информации. Метод Дельфи</w:t>
            </w:r>
          </w:p>
          <w:p>
            <w:pPr>
              <w:jc w:val="both"/>
              <w:spacing w:after="0" w:line="240" w:lineRule="auto"/>
              <w:rPr>
                <w:sz w:val="24"/>
                <w:szCs w:val="24"/>
              </w:rPr>
            </w:pPr>
            <w:r>
              <w:rPr>
                <w:rFonts w:ascii="Times New Roman" w:hAnsi="Times New Roman" w:cs="Times New Roman"/>
                <w:color w:val="#000000"/>
                <w:sz w:val="24"/>
                <w:szCs w:val="24"/>
              </w:rPr>
              <w:t> 4. Определение обобщенных оценок экспертов</w:t>
            </w:r>
          </w:p>
          <w:p>
            <w:pPr>
              <w:jc w:val="both"/>
              <w:spacing w:after="0" w:line="240" w:lineRule="auto"/>
              <w:rPr>
                <w:sz w:val="24"/>
                <w:szCs w:val="24"/>
              </w:rPr>
            </w:pPr>
            <w:r>
              <w:rPr>
                <w:rFonts w:ascii="Times New Roman" w:hAnsi="Times New Roman" w:cs="Times New Roman"/>
                <w:color w:val="#000000"/>
                <w:sz w:val="24"/>
                <w:szCs w:val="24"/>
              </w:rPr>
              <w:t> 5. Оценка согласованности мнений экспертов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Модель оценки финансовых активов (CAPM)</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Основные постулаты модели CAPM</w:t>
            </w:r>
          </w:p>
          <w:p>
            <w:pPr>
              <w:jc w:val="both"/>
              <w:spacing w:after="0" w:line="240" w:lineRule="auto"/>
              <w:rPr>
                <w:sz w:val="24"/>
                <w:szCs w:val="24"/>
              </w:rPr>
            </w:pPr>
            <w:r>
              <w:rPr>
                <w:rFonts w:ascii="Times New Roman" w:hAnsi="Times New Roman" w:cs="Times New Roman"/>
                <w:color w:val="#000000"/>
                <w:sz w:val="24"/>
                <w:szCs w:val="24"/>
              </w:rPr>
              <w:t> 2. Основные индексы мирового и российского фондовых рынков</w:t>
            </w:r>
          </w:p>
          <w:p>
            <w:pPr>
              <w:jc w:val="both"/>
              <w:spacing w:after="0" w:line="240" w:lineRule="auto"/>
              <w:rPr>
                <w:sz w:val="24"/>
                <w:szCs w:val="24"/>
              </w:rPr>
            </w:pPr>
            <w:r>
              <w:rPr>
                <w:rFonts w:ascii="Times New Roman" w:hAnsi="Times New Roman" w:cs="Times New Roman"/>
                <w:color w:val="#000000"/>
                <w:sz w:val="24"/>
                <w:szCs w:val="24"/>
              </w:rPr>
              <w:t> 3. Преимущества и недостатки модели CAPM</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Оценка рисков инвестиционных проектов</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Основные определения и классификация рисков инвестиционного проектирования</w:t>
            </w:r>
          </w:p>
          <w:p>
            <w:pPr>
              <w:jc w:val="both"/>
              <w:spacing w:after="0" w:line="240" w:lineRule="auto"/>
              <w:rPr>
                <w:sz w:val="24"/>
                <w:szCs w:val="24"/>
              </w:rPr>
            </w:pPr>
            <w:r>
              <w:rPr>
                <w:rFonts w:ascii="Times New Roman" w:hAnsi="Times New Roman" w:cs="Times New Roman"/>
                <w:color w:val="#000000"/>
                <w:sz w:val="24"/>
                <w:szCs w:val="24"/>
              </w:rPr>
              <w:t> 2. Имитационная модель учета риска</w:t>
            </w:r>
          </w:p>
          <w:p>
            <w:pPr>
              <w:jc w:val="both"/>
              <w:spacing w:after="0" w:line="240" w:lineRule="auto"/>
              <w:rPr>
                <w:sz w:val="24"/>
                <w:szCs w:val="24"/>
              </w:rPr>
            </w:pPr>
            <w:r>
              <w:rPr>
                <w:rFonts w:ascii="Times New Roman" w:hAnsi="Times New Roman" w:cs="Times New Roman"/>
                <w:color w:val="#000000"/>
                <w:sz w:val="24"/>
                <w:szCs w:val="24"/>
              </w:rPr>
              <w:t> 3. Анализ чувствительности инвестиционного проекта</w:t>
            </w:r>
          </w:p>
          <w:p>
            <w:pPr>
              <w:jc w:val="both"/>
              <w:spacing w:after="0" w:line="240" w:lineRule="auto"/>
              <w:rPr>
                <w:sz w:val="24"/>
                <w:szCs w:val="24"/>
              </w:rPr>
            </w:pPr>
            <w:r>
              <w:rPr>
                <w:rFonts w:ascii="Times New Roman" w:hAnsi="Times New Roman" w:cs="Times New Roman"/>
                <w:color w:val="#000000"/>
                <w:sz w:val="24"/>
                <w:szCs w:val="24"/>
              </w:rPr>
              <w:t> 4. Имитационное моделирование Монте-Карло</w:t>
            </w:r>
          </w:p>
          <w:p>
            <w:pPr>
              <w:jc w:val="both"/>
              <w:spacing w:after="0" w:line="240" w:lineRule="auto"/>
              <w:rPr>
                <w:sz w:val="24"/>
                <w:szCs w:val="24"/>
              </w:rPr>
            </w:pPr>
            <w:r>
              <w:rPr>
                <w:rFonts w:ascii="Times New Roman" w:hAnsi="Times New Roman" w:cs="Times New Roman"/>
                <w:color w:val="#000000"/>
                <w:sz w:val="24"/>
                <w:szCs w:val="24"/>
              </w:rPr>
              <w:t> 5. Метод построения дерева решений проекта</w:t>
            </w:r>
          </w:p>
          <w:p>
            <w:pPr>
              <w:jc w:val="both"/>
              <w:spacing w:after="0" w:line="240" w:lineRule="auto"/>
              <w:rPr>
                <w:sz w:val="24"/>
                <w:szCs w:val="24"/>
              </w:rPr>
            </w:pPr>
            <w:r>
              <w:rPr>
                <w:rFonts w:ascii="Times New Roman" w:hAnsi="Times New Roman" w:cs="Times New Roman"/>
                <w:color w:val="#000000"/>
                <w:sz w:val="24"/>
                <w:szCs w:val="24"/>
              </w:rPr>
              <w:t> 6. Метод корректировки на риск денежного потока</w:t>
            </w:r>
          </w:p>
          <w:p>
            <w:pPr>
              <w:jc w:val="both"/>
              <w:spacing w:after="0" w:line="240" w:lineRule="auto"/>
              <w:rPr>
                <w:sz w:val="24"/>
                <w:szCs w:val="24"/>
              </w:rPr>
            </w:pPr>
            <w:r>
              <w:rPr>
                <w:rFonts w:ascii="Times New Roman" w:hAnsi="Times New Roman" w:cs="Times New Roman"/>
                <w:color w:val="#000000"/>
                <w:sz w:val="24"/>
                <w:szCs w:val="24"/>
              </w:rPr>
              <w:t> 7. Метод корректировки коэффициента дисконтирования на риск инвестиционного проекта</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Международные стандарты управления рисками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Международные стандарты и системы управления рисками.</w:t>
            </w:r>
          </w:p>
          <w:p>
            <w:pPr>
              <w:jc w:val="both"/>
              <w:spacing w:after="0" w:line="240" w:lineRule="auto"/>
              <w:rPr>
                <w:sz w:val="24"/>
                <w:szCs w:val="24"/>
              </w:rPr>
            </w:pPr>
            <w:r>
              <w:rPr>
                <w:rFonts w:ascii="Times New Roman" w:hAnsi="Times New Roman" w:cs="Times New Roman"/>
                <w:color w:val="#000000"/>
                <w:sz w:val="24"/>
                <w:szCs w:val="24"/>
              </w:rPr>
              <w:t> 2.	AIRMIC/ALARM/IRM Risk Management Standard, 2002.</w:t>
            </w:r>
          </w:p>
          <w:p>
            <w:pPr>
              <w:jc w:val="both"/>
              <w:spacing w:after="0" w:line="240" w:lineRule="auto"/>
              <w:rPr>
                <w:sz w:val="24"/>
                <w:szCs w:val="24"/>
              </w:rPr>
            </w:pPr>
            <w:r>
              <w:rPr>
                <w:rFonts w:ascii="Times New Roman" w:hAnsi="Times New Roman" w:cs="Times New Roman"/>
                <w:color w:val="#000000"/>
                <w:sz w:val="24"/>
                <w:szCs w:val="24"/>
              </w:rPr>
              <w:t> 3.	The Australia/New Zealand Standard AS/NZS 4360: 2004</w:t>
            </w:r>
          </w:p>
          <w:p>
            <w:pPr>
              <w:jc w:val="both"/>
              <w:spacing w:after="0" w:line="240" w:lineRule="auto"/>
              <w:rPr>
                <w:sz w:val="24"/>
                <w:szCs w:val="24"/>
              </w:rPr>
            </w:pPr>
            <w:r>
              <w:rPr>
                <w:rFonts w:ascii="Times New Roman" w:hAnsi="Times New Roman" w:cs="Times New Roman"/>
                <w:color w:val="#000000"/>
                <w:sz w:val="24"/>
                <w:szCs w:val="24"/>
              </w:rPr>
              <w:t> 4.	The COSO Enterprise Risk Management-Integrated Framework, 2004.</w:t>
            </w:r>
          </w:p>
          <w:p>
            <w:pPr>
              <w:jc w:val="both"/>
              <w:spacing w:after="0" w:line="240" w:lineRule="auto"/>
              <w:rPr>
                <w:sz w:val="24"/>
                <w:szCs w:val="24"/>
              </w:rPr>
            </w:pPr>
            <w:r>
              <w:rPr>
                <w:rFonts w:ascii="Times New Roman" w:hAnsi="Times New Roman" w:cs="Times New Roman"/>
                <w:color w:val="#000000"/>
                <w:sz w:val="24"/>
                <w:szCs w:val="24"/>
              </w:rPr>
              <w:t> 5.	Стандарт IEC 31010:2019 Управление рисками – методы оценки рисков (Risk management – Risk assessment techniques)</w:t>
            </w:r>
          </w:p>
          <w:p>
            <w:pPr>
              <w:jc w:val="both"/>
              <w:spacing w:after="0" w:line="240" w:lineRule="auto"/>
              <w:rPr>
                <w:sz w:val="24"/>
                <w:szCs w:val="24"/>
              </w:rPr>
            </w:pPr>
            <w:r>
              <w:rPr>
                <w:rFonts w:ascii="Times New Roman" w:hAnsi="Times New Roman" w:cs="Times New Roman"/>
                <w:color w:val="#000000"/>
                <w:sz w:val="24"/>
                <w:szCs w:val="24"/>
              </w:rPr>
              <w:t> 6.	Стандарт ISO 31000:2018 Управление рисками – Рекомендации (Risk management – Guidelines)</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Анализ и оценки риска в системе управления предприятием</w:t>
            </w:r>
          </w:p>
        </w:tc>
      </w:tr>
      <w:tr>
        <w:trPr>
          <w:trHeight w:hRule="exact" w:val="21.31518"/>
        </w:trPr>
        <w:tc>
          <w:tcPr>
            <w:tcW w:w="9640" w:type="dxa"/>
          </w:tcP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рисками предприятия.</w:t>
            </w:r>
          </w:p>
          <w:p>
            <w:pPr>
              <w:jc w:val="left"/>
              <w:spacing w:after="0" w:line="240" w:lineRule="auto"/>
              <w:rPr>
                <w:sz w:val="24"/>
                <w:szCs w:val="24"/>
              </w:rPr>
            </w:pPr>
            <w:r>
              <w:rPr>
                <w:rFonts w:ascii="Times New Roman" w:hAnsi="Times New Roman" w:cs="Times New Roman"/>
                <w:color w:val="#000000"/>
                <w:sz w:val="24"/>
                <w:szCs w:val="24"/>
              </w:rPr>
              <w:t> 2.	Характеристика основных элементов системы управления рисками предприятия. Алгоритм управления рисками предприятия.</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Измерители и показатели производственных рисков</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Математические модели и методы оценки риска: методы анализа операционных рисков предприятия; измерители и система показатели оценки риска.</w:t>
            </w:r>
          </w:p>
          <w:p>
            <w:pPr>
              <w:jc w:val="left"/>
              <w:spacing w:after="0" w:line="240" w:lineRule="auto"/>
              <w:rPr>
                <w:sz w:val="24"/>
                <w:szCs w:val="24"/>
              </w:rPr>
            </w:pPr>
            <w:r>
              <w:rPr>
                <w:rFonts w:ascii="Times New Roman" w:hAnsi="Times New Roman" w:cs="Times New Roman"/>
                <w:color w:val="#000000"/>
                <w:sz w:val="24"/>
                <w:szCs w:val="24"/>
              </w:rPr>
              <w:t> 2.	Система показателей оценки риска.</w:t>
            </w:r>
          </w:p>
          <w:p>
            <w:pPr>
              <w:jc w:val="left"/>
              <w:spacing w:after="0" w:line="240" w:lineRule="auto"/>
              <w:rPr>
                <w:sz w:val="24"/>
                <w:szCs w:val="24"/>
              </w:rPr>
            </w:pPr>
            <w:r>
              <w:rPr>
                <w:rFonts w:ascii="Times New Roman" w:hAnsi="Times New Roman" w:cs="Times New Roman"/>
                <w:color w:val="#000000"/>
                <w:sz w:val="24"/>
                <w:szCs w:val="24"/>
              </w:rPr>
              <w:t> 3.	Показатели оценки риска в условиях неопределенности.</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Методы анализа и оценки рисков предприятия</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Методы анализа рисков.</w:t>
            </w:r>
          </w:p>
          <w:p>
            <w:pPr>
              <w:jc w:val="left"/>
              <w:spacing w:after="0" w:line="240" w:lineRule="auto"/>
              <w:rPr>
                <w:sz w:val="24"/>
                <w:szCs w:val="24"/>
              </w:rPr>
            </w:pPr>
            <w:r>
              <w:rPr>
                <w:rFonts w:ascii="Times New Roman" w:hAnsi="Times New Roman" w:cs="Times New Roman"/>
                <w:color w:val="#000000"/>
                <w:sz w:val="24"/>
                <w:szCs w:val="24"/>
              </w:rPr>
              <w:t> 2.	Формализация частичной неопределенности и применение теории вероятности в задачах оценки риска.</w:t>
            </w:r>
          </w:p>
          <w:p>
            <w:pPr>
              <w:jc w:val="left"/>
              <w:spacing w:after="0" w:line="240" w:lineRule="auto"/>
              <w:rPr>
                <w:sz w:val="24"/>
                <w:szCs w:val="24"/>
              </w:rPr>
            </w:pPr>
            <w:r>
              <w:rPr>
                <w:rFonts w:ascii="Times New Roman" w:hAnsi="Times New Roman" w:cs="Times New Roman"/>
                <w:color w:val="#000000"/>
                <w:sz w:val="24"/>
                <w:szCs w:val="24"/>
              </w:rPr>
              <w:t> 3.	Закон нормального распределения; интервальная оценка риска.</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Экспертные методы оценки риска</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Общие сведения о методе экспертных оценок</w:t>
            </w:r>
          </w:p>
          <w:p>
            <w:pPr>
              <w:jc w:val="left"/>
              <w:spacing w:after="0" w:line="240" w:lineRule="auto"/>
              <w:rPr>
                <w:sz w:val="24"/>
                <w:szCs w:val="24"/>
              </w:rPr>
            </w:pPr>
            <w:r>
              <w:rPr>
                <w:rFonts w:ascii="Times New Roman" w:hAnsi="Times New Roman" w:cs="Times New Roman"/>
                <w:color w:val="#000000"/>
                <w:sz w:val="24"/>
                <w:szCs w:val="24"/>
              </w:rPr>
              <w:t> 2. Формирование экспертной группы</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Оценка рисков инвестиционных проектов</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Основные определения и классификация рисков инвестиционного проектирования</w:t>
            </w:r>
          </w:p>
          <w:p>
            <w:pPr>
              <w:jc w:val="left"/>
              <w:spacing w:after="0" w:line="240" w:lineRule="auto"/>
              <w:rPr>
                <w:sz w:val="24"/>
                <w:szCs w:val="24"/>
              </w:rPr>
            </w:pPr>
            <w:r>
              <w:rPr>
                <w:rFonts w:ascii="Times New Roman" w:hAnsi="Times New Roman" w:cs="Times New Roman"/>
                <w:color w:val="#000000"/>
                <w:sz w:val="24"/>
                <w:szCs w:val="24"/>
              </w:rPr>
              <w:t> 2. Имитационная модель учета риска</w:t>
            </w:r>
          </w:p>
          <w:p>
            <w:pPr>
              <w:jc w:val="left"/>
              <w:spacing w:after="0" w:line="240" w:lineRule="auto"/>
              <w:rPr>
                <w:sz w:val="24"/>
                <w:szCs w:val="24"/>
              </w:rPr>
            </w:pPr>
            <w:r>
              <w:rPr>
                <w:rFonts w:ascii="Times New Roman" w:hAnsi="Times New Roman" w:cs="Times New Roman"/>
                <w:color w:val="#000000"/>
                <w:sz w:val="24"/>
                <w:szCs w:val="24"/>
              </w:rPr>
              <w:t> 3. Анализ чувствительности инвестиционного проекта</w:t>
            </w:r>
          </w:p>
          <w:p>
            <w:pPr>
              <w:jc w:val="left"/>
              <w:spacing w:after="0" w:line="240" w:lineRule="auto"/>
              <w:rPr>
                <w:sz w:val="24"/>
                <w:szCs w:val="24"/>
              </w:rPr>
            </w:pPr>
            <w:r>
              <w:rPr>
                <w:rFonts w:ascii="Times New Roman" w:hAnsi="Times New Roman" w:cs="Times New Roman"/>
                <w:color w:val="#000000"/>
                <w:sz w:val="24"/>
                <w:szCs w:val="24"/>
              </w:rPr>
              <w:t> 4. Имитационное моделирование Монте-Карло</w:t>
            </w:r>
          </w:p>
          <w:p>
            <w:pPr>
              <w:jc w:val="left"/>
              <w:spacing w:after="0" w:line="240" w:lineRule="auto"/>
              <w:rPr>
                <w:sz w:val="24"/>
                <w:szCs w:val="24"/>
              </w:rPr>
            </w:pPr>
            <w:r>
              <w:rPr>
                <w:rFonts w:ascii="Times New Roman" w:hAnsi="Times New Roman" w:cs="Times New Roman"/>
                <w:color w:val="#000000"/>
                <w:sz w:val="24"/>
                <w:szCs w:val="24"/>
              </w:rPr>
              <w:t> 5. Метод построения дерева решений проекта</w:t>
            </w:r>
          </w:p>
          <w:p>
            <w:pPr>
              <w:jc w:val="left"/>
              <w:spacing w:after="0" w:line="240" w:lineRule="auto"/>
              <w:rPr>
                <w:sz w:val="24"/>
                <w:szCs w:val="24"/>
              </w:rPr>
            </w:pPr>
            <w:r>
              <w:rPr>
                <w:rFonts w:ascii="Times New Roman" w:hAnsi="Times New Roman" w:cs="Times New Roman"/>
                <w:color w:val="#000000"/>
                <w:sz w:val="24"/>
                <w:szCs w:val="24"/>
              </w:rPr>
              <w:t> 6. Метод корректировки на риск денежного потока</w:t>
            </w:r>
          </w:p>
          <w:p>
            <w:pPr>
              <w:jc w:val="left"/>
              <w:spacing w:after="0" w:line="240" w:lineRule="auto"/>
              <w:rPr>
                <w:sz w:val="24"/>
                <w:szCs w:val="24"/>
              </w:rPr>
            </w:pPr>
            <w:r>
              <w:rPr>
                <w:rFonts w:ascii="Times New Roman" w:hAnsi="Times New Roman" w:cs="Times New Roman"/>
                <w:color w:val="#000000"/>
                <w:sz w:val="24"/>
                <w:szCs w:val="24"/>
              </w:rPr>
              <w:t> 7. Метод корректировки коэффициента дисконтирования на риск инвестиционного проекта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«Методы оценки рисков. Международные стандарты риск-менеджмента»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Риск-менеджмент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Вяткин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Гамза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Маевский</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978-5-9916-3502-8.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https://urait.ru/bcode/469020</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финансовыми</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Хоминич</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Архипов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Челухина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Саввина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Мягкова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Асяева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Перепелица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Трифонов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Злизина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Громова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Южакова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Соловьева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Алеканов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Кузенкова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Пещанская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569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978-5-534-13380-6.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https://urait.ru/bcode/458713</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рисков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бизнесе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Касьяненко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Маховикова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978-5-534-00375-8.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https://urait.ru/bcode/468977</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Воронцовский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978-5-534-12206-0.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https://urait.ru/bcode/489580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978-5-534-02609-2.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https://urait.ru/bcode/490636</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978-5-534-02608-5.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https://urait.ru/bcode/490635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978-5-534-02606-1.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https://urait.ru/bcode/490634</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713.2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948.8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866.5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333.7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023.4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185.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2024-2025_ФГОС3++2024_Бак-ОЗФО-Мен_(Мзд)(24)_plx_Методы оценки рисков_ Международные стандарты риск-менеджмента</dc:title>
  <dc:creator>FastReport.NET</dc:creator>
</cp:coreProperties>
</file>